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1FC6" w:rsidRPr="005A11CD" w:rsidRDefault="00951FC6" w:rsidP="005A11CD">
      <w:pPr>
        <w:jc w:val="center"/>
        <w:rPr>
          <w:sz w:val="32"/>
          <w:szCs w:val="32"/>
        </w:rPr>
      </w:pPr>
      <w:r w:rsidRPr="005A11CD">
        <w:rPr>
          <w:rFonts w:hint="eastAsia"/>
          <w:b/>
          <w:sz w:val="32"/>
          <w:szCs w:val="32"/>
        </w:rPr>
        <w:t>鵝出血性腎炎腸炎（</w:t>
      </w:r>
      <w:r w:rsidRPr="005A11CD">
        <w:rPr>
          <w:b/>
          <w:sz w:val="32"/>
          <w:szCs w:val="32"/>
        </w:rPr>
        <w:t>Hemorrhagic Nephritis Enteritis of Geese; HNEG</w:t>
      </w:r>
      <w:r w:rsidRPr="005A11CD">
        <w:rPr>
          <w:rFonts w:hint="eastAsia"/>
          <w:b/>
          <w:sz w:val="32"/>
          <w:szCs w:val="32"/>
        </w:rPr>
        <w:t>）</w:t>
      </w:r>
      <w:r>
        <w:rPr>
          <w:rFonts w:hint="eastAsia"/>
          <w:b/>
          <w:sz w:val="32"/>
          <w:szCs w:val="32"/>
        </w:rPr>
        <w:t>預防及控制</w:t>
      </w:r>
    </w:p>
    <w:p w:rsidR="00951FC6" w:rsidRPr="00F6448A" w:rsidRDefault="00951FC6" w:rsidP="00F6448A">
      <w:pPr>
        <w:rPr>
          <w:b/>
          <w:sz w:val="32"/>
          <w:szCs w:val="32"/>
        </w:rPr>
      </w:pPr>
      <w:r w:rsidRPr="00F6448A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病原</w:t>
      </w:r>
    </w:p>
    <w:p w:rsidR="00951FC6" w:rsidRPr="00527266" w:rsidRDefault="00951FC6" w:rsidP="00527266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 w:rsidRPr="00537DCD">
        <w:rPr>
          <w:rFonts w:hint="eastAsia"/>
          <w:sz w:val="32"/>
          <w:szCs w:val="32"/>
        </w:rPr>
        <w:t>鵝出血性腎炎腸炎病原為多瘤病毒科（</w:t>
      </w:r>
      <w:r w:rsidRPr="00537DCD">
        <w:rPr>
          <w:i/>
          <w:sz w:val="32"/>
          <w:szCs w:val="32"/>
        </w:rPr>
        <w:t>Polyomaviridae</w:t>
      </w:r>
      <w:r w:rsidRPr="00527266">
        <w:rPr>
          <w:sz w:val="32"/>
          <w:szCs w:val="32"/>
        </w:rPr>
        <w:t xml:space="preserve"> </w:t>
      </w:r>
      <w:r>
        <w:rPr>
          <w:sz w:val="32"/>
          <w:szCs w:val="32"/>
        </w:rPr>
        <w:t>f</w:t>
      </w:r>
      <w:r w:rsidRPr="00537DCD">
        <w:rPr>
          <w:sz w:val="32"/>
          <w:szCs w:val="32"/>
        </w:rPr>
        <w:t>amily</w:t>
      </w:r>
      <w:r w:rsidRPr="00537DCD">
        <w:rPr>
          <w:rFonts w:hint="eastAsia"/>
          <w:sz w:val="32"/>
          <w:szCs w:val="32"/>
        </w:rPr>
        <w:t>）多瘤病毒屬（</w:t>
      </w:r>
      <w:r w:rsidRPr="00537DCD">
        <w:rPr>
          <w:i/>
          <w:sz w:val="32"/>
          <w:szCs w:val="32"/>
        </w:rPr>
        <w:t>Polyomavirus</w:t>
      </w:r>
      <w:r w:rsidRPr="00527266">
        <w:rPr>
          <w:sz w:val="32"/>
          <w:szCs w:val="32"/>
        </w:rPr>
        <w:t xml:space="preserve"> </w:t>
      </w:r>
      <w:r>
        <w:rPr>
          <w:sz w:val="32"/>
          <w:szCs w:val="32"/>
        </w:rPr>
        <w:t>g</w:t>
      </w:r>
      <w:r w:rsidRPr="00537DCD">
        <w:rPr>
          <w:sz w:val="32"/>
          <w:szCs w:val="32"/>
        </w:rPr>
        <w:t>enus</w:t>
      </w:r>
      <w:r w:rsidRPr="00537DCD">
        <w:rPr>
          <w:rFonts w:hint="eastAsia"/>
          <w:sz w:val="32"/>
          <w:szCs w:val="32"/>
        </w:rPr>
        <w:t>）中之</w:t>
      </w:r>
      <w:r>
        <w:rPr>
          <w:rFonts w:hint="eastAsia"/>
          <w:sz w:val="32"/>
          <w:szCs w:val="32"/>
        </w:rPr>
        <w:t>鵝出血性</w:t>
      </w:r>
      <w:r w:rsidRPr="00527266">
        <w:rPr>
          <w:rFonts w:hint="eastAsia"/>
          <w:sz w:val="32"/>
          <w:szCs w:val="32"/>
        </w:rPr>
        <w:t>多瘤病毒（</w:t>
      </w:r>
      <w:r w:rsidRPr="00527266">
        <w:rPr>
          <w:kern w:val="0"/>
          <w:sz w:val="32"/>
          <w:szCs w:val="32"/>
        </w:rPr>
        <w:t>Goose haemorrhagic polyomavirus</w:t>
      </w:r>
      <w:r w:rsidRPr="00527266">
        <w:rPr>
          <w:rFonts w:hint="eastAsia"/>
          <w:sz w:val="32"/>
          <w:szCs w:val="32"/>
        </w:rPr>
        <w:t>）。</w:t>
      </w:r>
    </w:p>
    <w:p w:rsidR="00951FC6" w:rsidRDefault="00951FC6" w:rsidP="00537DCD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 w:rsidRPr="00537DCD">
        <w:rPr>
          <w:rFonts w:hint="eastAsia"/>
          <w:sz w:val="32"/>
          <w:szCs w:val="32"/>
        </w:rPr>
        <w:t>不具封套</w:t>
      </w:r>
      <w:r>
        <w:rPr>
          <w:rFonts w:hint="eastAsia"/>
          <w:sz w:val="32"/>
          <w:szCs w:val="32"/>
        </w:rPr>
        <w:t>。</w:t>
      </w:r>
    </w:p>
    <w:p w:rsidR="00951FC6" w:rsidRPr="00537DCD" w:rsidRDefault="00951FC6" w:rsidP="00537DCD">
      <w:pPr>
        <w:pStyle w:val="a7"/>
        <w:numPr>
          <w:ilvl w:val="0"/>
          <w:numId w:val="2"/>
        </w:numPr>
        <w:ind w:leftChars="0"/>
        <w:rPr>
          <w:sz w:val="32"/>
          <w:szCs w:val="32"/>
        </w:rPr>
      </w:pPr>
      <w:r w:rsidRPr="00537DCD">
        <w:rPr>
          <w:rFonts w:hint="eastAsia"/>
          <w:sz w:val="32"/>
          <w:szCs w:val="32"/>
        </w:rPr>
        <w:t>病毒</w:t>
      </w:r>
      <w:r>
        <w:rPr>
          <w:rFonts w:hint="eastAsia"/>
          <w:sz w:val="32"/>
          <w:szCs w:val="32"/>
        </w:rPr>
        <w:t>結構為</w:t>
      </w:r>
      <w:r w:rsidRPr="00537DCD">
        <w:rPr>
          <w:rFonts w:hint="eastAsia"/>
          <w:sz w:val="32"/>
          <w:szCs w:val="32"/>
        </w:rPr>
        <w:t>直徑約</w:t>
      </w:r>
      <w:r w:rsidRPr="00537DCD">
        <w:rPr>
          <w:sz w:val="32"/>
          <w:szCs w:val="32"/>
        </w:rPr>
        <w:t>45nm</w:t>
      </w:r>
      <w:r w:rsidRPr="00537DCD">
        <w:rPr>
          <w:rFonts w:hint="eastAsia"/>
          <w:sz w:val="32"/>
          <w:szCs w:val="32"/>
        </w:rPr>
        <w:t>之二十面體</w:t>
      </w:r>
      <w:r>
        <w:rPr>
          <w:rFonts w:hint="eastAsia"/>
          <w:sz w:val="32"/>
          <w:szCs w:val="32"/>
        </w:rPr>
        <w:t>，具</w:t>
      </w:r>
      <w:r w:rsidRPr="00537DCD">
        <w:rPr>
          <w:rFonts w:hint="eastAsia"/>
          <w:sz w:val="32"/>
          <w:szCs w:val="32"/>
        </w:rPr>
        <w:t>雙股</w:t>
      </w:r>
      <w:r w:rsidRPr="00537DCD">
        <w:rPr>
          <w:sz w:val="32"/>
          <w:szCs w:val="32"/>
        </w:rPr>
        <w:t>DNA</w:t>
      </w:r>
      <w:r w:rsidRPr="00537DCD">
        <w:rPr>
          <w:rFonts w:hint="eastAsia"/>
          <w:sz w:val="32"/>
          <w:szCs w:val="32"/>
        </w:rPr>
        <w:t>。</w:t>
      </w:r>
    </w:p>
    <w:p w:rsidR="00951FC6" w:rsidRPr="00F6448A" w:rsidRDefault="00951FC6" w:rsidP="00F6448A">
      <w:pPr>
        <w:rPr>
          <w:b/>
          <w:sz w:val="32"/>
          <w:szCs w:val="32"/>
        </w:rPr>
      </w:pPr>
      <w:r w:rsidRPr="00F6448A"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病毒特性、臨床症狀及病理組織變化</w:t>
      </w:r>
    </w:p>
    <w:p w:rsidR="00951FC6" w:rsidRPr="00527266" w:rsidRDefault="00951FC6" w:rsidP="00527266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537DCD">
        <w:rPr>
          <w:rFonts w:hint="eastAsia"/>
          <w:sz w:val="32"/>
          <w:szCs w:val="32"/>
        </w:rPr>
        <w:t>本病好發於</w:t>
      </w:r>
      <w:r w:rsidRPr="00537DCD">
        <w:rPr>
          <w:sz w:val="32"/>
          <w:szCs w:val="32"/>
        </w:rPr>
        <w:t>4-10</w:t>
      </w:r>
      <w:r w:rsidRPr="00537DCD">
        <w:rPr>
          <w:rFonts w:hint="eastAsia"/>
          <w:sz w:val="32"/>
          <w:szCs w:val="32"/>
        </w:rPr>
        <w:t>週齡鵝隻，</w:t>
      </w:r>
      <w:r>
        <w:rPr>
          <w:rFonts w:hint="eastAsia"/>
          <w:sz w:val="32"/>
          <w:szCs w:val="32"/>
        </w:rPr>
        <w:t>依場內飼養管理及年齡不同，其</w:t>
      </w:r>
      <w:r w:rsidRPr="00537DCD">
        <w:rPr>
          <w:rFonts w:hint="eastAsia"/>
          <w:sz w:val="32"/>
          <w:szCs w:val="32"/>
        </w:rPr>
        <w:t>死亡率</w:t>
      </w:r>
      <w:r>
        <w:rPr>
          <w:rFonts w:hint="eastAsia"/>
          <w:sz w:val="32"/>
          <w:szCs w:val="32"/>
        </w:rPr>
        <w:t>介於</w:t>
      </w:r>
      <w:r w:rsidRPr="00537DCD">
        <w:rPr>
          <w:sz w:val="32"/>
          <w:szCs w:val="32"/>
        </w:rPr>
        <w:t>4%-67%</w:t>
      </w:r>
      <w:r>
        <w:rPr>
          <w:rFonts w:hint="eastAsia"/>
          <w:sz w:val="32"/>
          <w:szCs w:val="32"/>
        </w:rPr>
        <w:t>，年齡越小或飼養管理不佳者會誘發較高死亡率。</w:t>
      </w:r>
    </w:p>
    <w:p w:rsidR="00951FC6" w:rsidRPr="00BC24EF" w:rsidRDefault="00951FC6" w:rsidP="00BC24EF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感染場部分鵝隻發生無預警死亡（無臨床症狀），</w:t>
      </w:r>
      <w:bookmarkStart w:id="0" w:name="_GoBack"/>
      <w:bookmarkEnd w:id="0"/>
      <w:r>
        <w:rPr>
          <w:rFonts w:hint="eastAsia"/>
          <w:sz w:val="32"/>
          <w:szCs w:val="32"/>
        </w:rPr>
        <w:t>鵝隻臨床上可見共濟失調及頭頸部震顫等神經症狀，其排泄物可見血樣糞</w:t>
      </w:r>
      <w:r w:rsidRPr="00BC24EF">
        <w:rPr>
          <w:rFonts w:hint="eastAsia"/>
          <w:sz w:val="32"/>
          <w:szCs w:val="32"/>
        </w:rPr>
        <w:t>便。</w:t>
      </w:r>
      <w:r>
        <w:rPr>
          <w:rFonts w:hint="eastAsia"/>
          <w:sz w:val="32"/>
          <w:szCs w:val="32"/>
        </w:rPr>
        <w:t>除鵝隻外亦可感染鴨隻（紅面鴨及土番鴨），鴨隻多為不顯性感染。</w:t>
      </w:r>
    </w:p>
    <w:p w:rsidR="00951FC6" w:rsidRDefault="00951FC6" w:rsidP="00537DCD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 w:rsidRPr="00537DCD">
        <w:rPr>
          <w:rFonts w:hint="eastAsia"/>
          <w:sz w:val="32"/>
          <w:szCs w:val="32"/>
        </w:rPr>
        <w:t>肉眼病理變化可見皮下組織水腫、膠樣腹水、腎臟發炎及出血性腸炎，主係病毒複製過程中破壞血管內皮細胞所導致。</w:t>
      </w:r>
    </w:p>
    <w:p w:rsidR="00951FC6" w:rsidRPr="00537DCD" w:rsidRDefault="00951FC6" w:rsidP="00537DCD">
      <w:pPr>
        <w:pStyle w:val="a7"/>
        <w:numPr>
          <w:ilvl w:val="0"/>
          <w:numId w:val="1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慢性感染在臨床可見跛腳症狀，病理變化為關節處有尿酸鹽沈積。</w:t>
      </w:r>
    </w:p>
    <w:p w:rsidR="00951FC6" w:rsidRPr="00527266" w:rsidRDefault="00951FC6" w:rsidP="00527266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流行病學</w:t>
      </w:r>
    </w:p>
    <w:p w:rsidR="00951FC6" w:rsidRPr="00527266" w:rsidRDefault="00951FC6" w:rsidP="00527266">
      <w:pPr>
        <w:pStyle w:val="a7"/>
        <w:numPr>
          <w:ilvl w:val="0"/>
          <w:numId w:val="6"/>
        </w:numPr>
        <w:ind w:leftChars="0"/>
        <w:rPr>
          <w:b/>
          <w:sz w:val="32"/>
          <w:szCs w:val="32"/>
        </w:rPr>
      </w:pPr>
      <w:r>
        <w:rPr>
          <w:rFonts w:hint="eastAsia"/>
          <w:sz w:val="32"/>
          <w:szCs w:val="32"/>
        </w:rPr>
        <w:t>本病</w:t>
      </w:r>
      <w:r w:rsidRPr="00537DCD">
        <w:rPr>
          <w:rFonts w:hint="eastAsia"/>
          <w:sz w:val="32"/>
          <w:szCs w:val="32"/>
        </w:rPr>
        <w:t>為歐洲</w:t>
      </w:r>
      <w:r>
        <w:rPr>
          <w:rFonts w:hint="eastAsia"/>
          <w:sz w:val="32"/>
          <w:szCs w:val="32"/>
        </w:rPr>
        <w:t>（法國、匈牙利及德國等）</w:t>
      </w:r>
      <w:r w:rsidRPr="00537DCD">
        <w:rPr>
          <w:rFonts w:hint="eastAsia"/>
          <w:sz w:val="32"/>
          <w:szCs w:val="32"/>
        </w:rPr>
        <w:t>鵝隻主要疾病之一，</w:t>
      </w:r>
      <w:r>
        <w:rPr>
          <w:rFonts w:hint="eastAsia"/>
          <w:sz w:val="32"/>
          <w:szCs w:val="32"/>
        </w:rPr>
        <w:t>臺灣亦有檢出案例</w:t>
      </w:r>
      <w:r w:rsidRPr="00537DCD">
        <w:rPr>
          <w:rFonts w:hint="eastAsia"/>
          <w:sz w:val="32"/>
          <w:szCs w:val="32"/>
        </w:rPr>
        <w:t>。</w:t>
      </w:r>
    </w:p>
    <w:p w:rsidR="00951FC6" w:rsidRPr="00451609" w:rsidRDefault="00951FC6" w:rsidP="00451609">
      <w:pPr>
        <w:pStyle w:val="a7"/>
        <w:numPr>
          <w:ilvl w:val="0"/>
          <w:numId w:val="6"/>
        </w:numPr>
        <w:ind w:leftChars="0"/>
        <w:rPr>
          <w:sz w:val="32"/>
          <w:szCs w:val="32"/>
        </w:rPr>
      </w:pPr>
      <w:r w:rsidRPr="00451609">
        <w:rPr>
          <w:rFonts w:hint="eastAsia"/>
          <w:sz w:val="32"/>
          <w:szCs w:val="32"/>
        </w:rPr>
        <w:t>主要</w:t>
      </w:r>
      <w:r>
        <w:rPr>
          <w:rFonts w:hint="eastAsia"/>
          <w:sz w:val="32"/>
          <w:szCs w:val="32"/>
        </w:rPr>
        <w:t>透過感染</w:t>
      </w:r>
      <w:r w:rsidRPr="00451609">
        <w:rPr>
          <w:rFonts w:hint="eastAsia"/>
          <w:sz w:val="32"/>
          <w:szCs w:val="32"/>
        </w:rPr>
        <w:t>鵝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鴨</w:t>
      </w:r>
      <w:r w:rsidRPr="00451609">
        <w:rPr>
          <w:rFonts w:hint="eastAsia"/>
          <w:sz w:val="32"/>
          <w:szCs w:val="32"/>
        </w:rPr>
        <w:t>隻</w:t>
      </w:r>
      <w:r>
        <w:rPr>
          <w:rFonts w:hint="eastAsia"/>
          <w:sz w:val="32"/>
          <w:szCs w:val="32"/>
        </w:rPr>
        <w:t>或</w:t>
      </w:r>
      <w:r w:rsidRPr="00451609">
        <w:rPr>
          <w:rFonts w:hint="eastAsia"/>
          <w:sz w:val="32"/>
          <w:szCs w:val="32"/>
        </w:rPr>
        <w:t>污染之糞便</w:t>
      </w:r>
      <w:r>
        <w:rPr>
          <w:rFonts w:hint="eastAsia"/>
          <w:sz w:val="32"/>
          <w:szCs w:val="32"/>
        </w:rPr>
        <w:t>直接</w:t>
      </w:r>
      <w:r w:rsidRPr="00451609">
        <w:rPr>
          <w:rFonts w:hint="eastAsia"/>
          <w:sz w:val="32"/>
          <w:szCs w:val="32"/>
        </w:rPr>
        <w:t>傳播</w:t>
      </w:r>
      <w:r>
        <w:rPr>
          <w:rFonts w:hint="eastAsia"/>
          <w:sz w:val="32"/>
          <w:szCs w:val="32"/>
        </w:rPr>
        <w:t>，亦可透過受污染人員、車輛、器具、箱籠等間接傳播</w:t>
      </w:r>
      <w:r w:rsidRPr="00451609">
        <w:rPr>
          <w:rFonts w:hint="eastAsia"/>
          <w:sz w:val="32"/>
          <w:szCs w:val="32"/>
        </w:rPr>
        <w:t>。</w:t>
      </w:r>
    </w:p>
    <w:p w:rsidR="00951FC6" w:rsidRPr="00F6448A" w:rsidRDefault="00951FC6" w:rsidP="00F6448A">
      <w:pPr>
        <w:rPr>
          <w:b/>
          <w:sz w:val="32"/>
          <w:szCs w:val="32"/>
        </w:rPr>
      </w:pPr>
      <w:r>
        <w:rPr>
          <w:rFonts w:hint="eastAsia"/>
          <w:b/>
          <w:sz w:val="32"/>
          <w:szCs w:val="32"/>
          <w:bdr w:val="single" w:sz="4" w:space="0" w:color="auto"/>
          <w:shd w:val="pct15" w:color="auto" w:fill="FFFFFF"/>
        </w:rPr>
        <w:t>預防及控制</w:t>
      </w:r>
    </w:p>
    <w:p w:rsidR="00951FC6" w:rsidRPr="00527266" w:rsidRDefault="00951FC6" w:rsidP="00527266">
      <w:pPr>
        <w:pStyle w:val="a7"/>
        <w:numPr>
          <w:ilvl w:val="0"/>
          <w:numId w:val="4"/>
        </w:numPr>
        <w:ind w:leftChars="0"/>
        <w:rPr>
          <w:sz w:val="32"/>
          <w:szCs w:val="32"/>
        </w:rPr>
      </w:pPr>
      <w:r w:rsidRPr="00527266">
        <w:rPr>
          <w:rFonts w:hint="eastAsia"/>
          <w:sz w:val="32"/>
          <w:szCs w:val="32"/>
        </w:rPr>
        <w:t>須嚴格執行門禁管制、人員、車輛、器具、裝載箱籠消毒等生物安全措施，始能防範病毒入侵。</w:t>
      </w:r>
    </w:p>
    <w:p w:rsidR="00951FC6" w:rsidRDefault="00951FC6" w:rsidP="00AE1A65">
      <w:pPr>
        <w:pStyle w:val="a7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避免購入來源不明鴨</w:t>
      </w:r>
      <w:r>
        <w:rPr>
          <w:sz w:val="32"/>
          <w:szCs w:val="32"/>
        </w:rPr>
        <w:t>/</w:t>
      </w:r>
      <w:r>
        <w:rPr>
          <w:rFonts w:hint="eastAsia"/>
          <w:sz w:val="32"/>
          <w:szCs w:val="32"/>
        </w:rPr>
        <w:t>鵝飼養。</w:t>
      </w:r>
    </w:p>
    <w:p w:rsidR="00951FC6" w:rsidRDefault="00951FC6" w:rsidP="00451609">
      <w:pPr>
        <w:pStyle w:val="a7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lastRenderedPageBreak/>
        <w:t>鵝出血性</w:t>
      </w:r>
      <w:r w:rsidRPr="00527266">
        <w:rPr>
          <w:rFonts w:hint="eastAsia"/>
          <w:sz w:val="32"/>
          <w:szCs w:val="32"/>
        </w:rPr>
        <w:t>多瘤病毒</w:t>
      </w:r>
      <w:r w:rsidRPr="005A11CD">
        <w:rPr>
          <w:rFonts w:hint="eastAsia"/>
          <w:sz w:val="32"/>
          <w:szCs w:val="32"/>
        </w:rPr>
        <w:t>不具封套，對氯化物消毒劑敏感</w:t>
      </w:r>
      <w:r>
        <w:rPr>
          <w:rFonts w:hint="eastAsia"/>
          <w:sz w:val="32"/>
          <w:szCs w:val="32"/>
        </w:rPr>
        <w:t>（例</w:t>
      </w:r>
      <w:r>
        <w:rPr>
          <w:sz w:val="32"/>
          <w:szCs w:val="32"/>
        </w:rPr>
        <w:t>0.5%</w:t>
      </w:r>
      <w:r>
        <w:rPr>
          <w:rFonts w:hint="eastAsia"/>
          <w:sz w:val="32"/>
          <w:szCs w:val="32"/>
        </w:rPr>
        <w:t>次氯酸鈉）</w:t>
      </w:r>
      <w:r w:rsidRPr="005A11CD">
        <w:rPr>
          <w:rFonts w:hint="eastAsia"/>
          <w:sz w:val="32"/>
          <w:szCs w:val="32"/>
        </w:rPr>
        <w:t>，惟消毒前需澈底清洗場區，移除糞便等有機物質，以避免影響消毒效果</w:t>
      </w:r>
      <w:r>
        <w:rPr>
          <w:rFonts w:hint="eastAsia"/>
          <w:sz w:val="32"/>
          <w:szCs w:val="32"/>
        </w:rPr>
        <w:t>。</w:t>
      </w:r>
    </w:p>
    <w:p w:rsidR="00951FC6" w:rsidRPr="00451609" w:rsidRDefault="00951FC6" w:rsidP="00451609">
      <w:pPr>
        <w:pStyle w:val="a7"/>
        <w:numPr>
          <w:ilvl w:val="0"/>
          <w:numId w:val="4"/>
        </w:numPr>
        <w:ind w:leftChars="0"/>
        <w:rPr>
          <w:sz w:val="32"/>
          <w:szCs w:val="32"/>
        </w:rPr>
      </w:pPr>
      <w:r>
        <w:rPr>
          <w:rFonts w:hint="eastAsia"/>
          <w:sz w:val="32"/>
          <w:szCs w:val="32"/>
        </w:rPr>
        <w:t>本病為病毒性疾病，無有效治療方法，感染場注意禽舍保溫及降低鵝隻緊迫，可降低發病率，另配合</w:t>
      </w:r>
      <w:r w:rsidRPr="00451609">
        <w:rPr>
          <w:rFonts w:hint="eastAsia"/>
          <w:sz w:val="32"/>
          <w:szCs w:val="32"/>
        </w:rPr>
        <w:t>批次飼養及統進統出</w:t>
      </w:r>
      <w:r>
        <w:rPr>
          <w:rFonts w:hint="eastAsia"/>
          <w:sz w:val="32"/>
          <w:szCs w:val="32"/>
        </w:rPr>
        <w:t>管理</w:t>
      </w:r>
      <w:r w:rsidRPr="00451609">
        <w:rPr>
          <w:rFonts w:hint="eastAsia"/>
          <w:sz w:val="32"/>
          <w:szCs w:val="32"/>
        </w:rPr>
        <w:t>，落實執行各項生物安全措施，以逐步清除場內殘存之病毒。</w:t>
      </w:r>
    </w:p>
    <w:p w:rsidR="00951FC6" w:rsidRPr="006124DB" w:rsidRDefault="00951FC6" w:rsidP="006124DB">
      <w:pPr>
        <w:pStyle w:val="a7"/>
        <w:numPr>
          <w:ilvl w:val="0"/>
          <w:numId w:val="4"/>
        </w:numPr>
        <w:ind w:leftChars="0"/>
        <w:rPr>
          <w:sz w:val="32"/>
          <w:szCs w:val="32"/>
        </w:rPr>
      </w:pPr>
      <w:r w:rsidRPr="005A11CD">
        <w:rPr>
          <w:rFonts w:hint="eastAsia"/>
          <w:sz w:val="32"/>
          <w:szCs w:val="32"/>
        </w:rPr>
        <w:t>本病非屬世界動物衛生組織表列應通報疾病，亦非動物傳染病防治條例所列動物傳染病，惟臨床上不易與水禽小病毒感染症（</w:t>
      </w:r>
      <w:r w:rsidRPr="005A11CD">
        <w:rPr>
          <w:sz w:val="32"/>
          <w:szCs w:val="32"/>
        </w:rPr>
        <w:t>Waterfowl parvovirus infection</w:t>
      </w:r>
      <w:r w:rsidRPr="005A11CD">
        <w:rPr>
          <w:rFonts w:hint="eastAsia"/>
          <w:sz w:val="32"/>
          <w:szCs w:val="32"/>
        </w:rPr>
        <w:t>）等作類症鑑別，因此發現疑似案例仍應通報所在地動物防疫機關協助檢診及處置，以降低場內損失。</w:t>
      </w:r>
    </w:p>
    <w:p w:rsidR="00951FC6" w:rsidRPr="00537DCD" w:rsidRDefault="00951FC6">
      <w:pPr>
        <w:rPr>
          <w:sz w:val="32"/>
          <w:szCs w:val="32"/>
        </w:rPr>
      </w:pPr>
    </w:p>
    <w:sectPr w:rsidR="00951FC6" w:rsidRPr="00537DCD" w:rsidSect="005E7EA2">
      <w:pgSz w:w="11906" w:h="16838"/>
      <w:pgMar w:top="1134" w:right="1134" w:bottom="1134" w:left="1134" w:header="851" w:footer="992" w:gutter="0"/>
      <w:cols w:space="425"/>
      <w:docGrid w:type="lines"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B4FAE" w:rsidRDefault="00AB4FAE" w:rsidP="00982130">
      <w:pPr>
        <w:spacing w:line="240" w:lineRule="auto"/>
      </w:pPr>
      <w:r>
        <w:separator/>
      </w:r>
    </w:p>
  </w:endnote>
  <w:endnote w:type="continuationSeparator" w:id="1">
    <w:p w:rsidR="00AB4FAE" w:rsidRDefault="00AB4FAE" w:rsidP="00982130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300000000000000"/>
    <w:charset w:val="88"/>
    <w:family w:val="roman"/>
    <w:pitch w:val="variable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B4FAE" w:rsidRDefault="00AB4FAE" w:rsidP="00982130">
      <w:pPr>
        <w:spacing w:line="240" w:lineRule="auto"/>
      </w:pPr>
      <w:r>
        <w:separator/>
      </w:r>
    </w:p>
  </w:footnote>
  <w:footnote w:type="continuationSeparator" w:id="1">
    <w:p w:rsidR="00AB4FAE" w:rsidRDefault="00AB4FAE" w:rsidP="00982130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4E1F88"/>
    <w:multiLevelType w:val="hybridMultilevel"/>
    <w:tmpl w:val="E7BA5BCA"/>
    <w:lvl w:ilvl="0" w:tplc="7A2ECCBC">
      <w:start w:val="1"/>
      <w:numFmt w:val="ideographLegalTraditional"/>
      <w:lvlText w:val="%1、"/>
      <w:lvlJc w:val="left"/>
      <w:pPr>
        <w:ind w:left="720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">
    <w:nsid w:val="3F637488"/>
    <w:multiLevelType w:val="hybridMultilevel"/>
    <w:tmpl w:val="6F2A2DD8"/>
    <w:lvl w:ilvl="0" w:tplc="227EB5EA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2">
    <w:nsid w:val="555E35E2"/>
    <w:multiLevelType w:val="hybridMultilevel"/>
    <w:tmpl w:val="A4607EBC"/>
    <w:lvl w:ilvl="0" w:tplc="6078464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3">
    <w:nsid w:val="6E1F73FC"/>
    <w:multiLevelType w:val="hybridMultilevel"/>
    <w:tmpl w:val="47EA4096"/>
    <w:lvl w:ilvl="0" w:tplc="227EB5EA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4">
    <w:nsid w:val="6EBC7C7A"/>
    <w:multiLevelType w:val="hybridMultilevel"/>
    <w:tmpl w:val="A4607EBC"/>
    <w:lvl w:ilvl="0" w:tplc="6078464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abstractNum w:abstractNumId="5">
    <w:nsid w:val="76AD1D2E"/>
    <w:multiLevelType w:val="hybridMultilevel"/>
    <w:tmpl w:val="A4607EBC"/>
    <w:lvl w:ilvl="0" w:tplc="60784648">
      <w:start w:val="1"/>
      <w:numFmt w:val="taiwaneseCountingThousand"/>
      <w:lvlText w:val="%1、"/>
      <w:lvlJc w:val="left"/>
      <w:pPr>
        <w:ind w:left="1146" w:hanging="720"/>
      </w:pPr>
      <w:rPr>
        <w:rFonts w:cs="Times New Roman"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1386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6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346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826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306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786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266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746" w:hanging="480"/>
      </w:pPr>
      <w:rPr>
        <w:rFonts w:cs="Times New Roman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  <w:num w:numId="5">
    <w:abstractNumId w:val="4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rawingGridHorizontalSpacing w:val="140"/>
  <w:drawingGridVerticalSpacing w:val="381"/>
  <w:displayHorizontalDrawingGridEvery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C41B2"/>
    <w:rsid w:val="00007E49"/>
    <w:rsid w:val="0009659B"/>
    <w:rsid w:val="000C1F5B"/>
    <w:rsid w:val="00135C78"/>
    <w:rsid w:val="001B15F9"/>
    <w:rsid w:val="003E490E"/>
    <w:rsid w:val="00451609"/>
    <w:rsid w:val="00474BDA"/>
    <w:rsid w:val="005060F0"/>
    <w:rsid w:val="00524171"/>
    <w:rsid w:val="00527266"/>
    <w:rsid w:val="00527635"/>
    <w:rsid w:val="00537DCD"/>
    <w:rsid w:val="005A11CD"/>
    <w:rsid w:val="005E7EA2"/>
    <w:rsid w:val="006124DB"/>
    <w:rsid w:val="006F5C18"/>
    <w:rsid w:val="007A72E9"/>
    <w:rsid w:val="008E5DFB"/>
    <w:rsid w:val="008F43E7"/>
    <w:rsid w:val="00903427"/>
    <w:rsid w:val="00951FC6"/>
    <w:rsid w:val="00982130"/>
    <w:rsid w:val="00A245CD"/>
    <w:rsid w:val="00A376A4"/>
    <w:rsid w:val="00AB4FAE"/>
    <w:rsid w:val="00AE1A65"/>
    <w:rsid w:val="00BC24EF"/>
    <w:rsid w:val="00BC41B2"/>
    <w:rsid w:val="00BC738F"/>
    <w:rsid w:val="00D218FE"/>
    <w:rsid w:val="00D940D8"/>
    <w:rsid w:val="00DC538D"/>
    <w:rsid w:val="00EC5B42"/>
    <w:rsid w:val="00EC6EB6"/>
    <w:rsid w:val="00F16E4F"/>
    <w:rsid w:val="00F17F40"/>
    <w:rsid w:val="00F644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標楷體" w:hAnsi="Times New Roman" w:cs="Times New Roman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90E"/>
    <w:pPr>
      <w:spacing w:line="460" w:lineRule="exact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982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locked/>
    <w:rsid w:val="00982130"/>
    <w:rPr>
      <w:rFonts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98213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locked/>
    <w:rsid w:val="00982130"/>
    <w:rPr>
      <w:rFonts w:cs="Times New Roman"/>
      <w:sz w:val="20"/>
      <w:szCs w:val="20"/>
    </w:rPr>
  </w:style>
  <w:style w:type="paragraph" w:styleId="a7">
    <w:name w:val="List Paragraph"/>
    <w:basedOn w:val="a"/>
    <w:uiPriority w:val="99"/>
    <w:qFormat/>
    <w:rsid w:val="00537DCD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756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鵝出血性腎炎腸炎（Hemorrhagic Nephritis Enteritis of Geese; HNEG）預防及控制</dc:title>
  <dc:subject/>
  <dc:creator>林念農</dc:creator>
  <cp:keywords/>
  <dc:description/>
  <cp:lastModifiedBy>---</cp:lastModifiedBy>
  <cp:revision>2</cp:revision>
  <dcterms:created xsi:type="dcterms:W3CDTF">2015-12-11T02:45:00Z</dcterms:created>
  <dcterms:modified xsi:type="dcterms:W3CDTF">2015-12-11T02:45:00Z</dcterms:modified>
</cp:coreProperties>
</file>